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</w:rPr>
      </w:pPr>
      <w:r>
        <w:rPr>
          <w:b w:val="1"/>
        </w:rPr>
        <w:t>Роль родителя на платформе</w:t>
      </w:r>
    </w:p>
    <w:p w14:paraId="02000000">
      <w:pPr>
        <w:rPr>
          <w:b w:val="1"/>
        </w:rPr>
      </w:pPr>
      <w:r>
        <w:rPr>
          <w:b w:val="1"/>
        </w:rPr>
        <w:t>1.</w:t>
      </w:r>
      <w:r>
        <w:rPr>
          <w:b w:val="1"/>
        </w:rPr>
        <w:t>Регистрация родителя на платформе по ссылке-приглашению от ребёнка.</w:t>
      </w:r>
    </w:p>
    <w:p w14:paraId="03000000">
      <w:r>
        <w:t xml:space="preserve">Обучающийся должен скопировать ссылку-приглашение из своего профиля и отправить ее родителю. </w:t>
      </w:r>
      <w:r>
        <w:t xml:space="preserve">Именно по данной ссылке (или </w:t>
      </w:r>
      <w:r>
        <w:t>QR</w:t>
      </w:r>
      <w:r>
        <w:t>-</w:t>
      </w:r>
      <w:r>
        <w:t xml:space="preserve">коду) </w:t>
      </w:r>
      <w:r>
        <w:t>родитель может перейти на платформу для дальнейшей своей регистрации.</w:t>
      </w:r>
    </w:p>
    <w:p w14:paraId="04000000">
      <w:pPr>
        <w:ind w:firstLine="0" w:left="360"/>
      </w:pPr>
      <w:r>
        <w:drawing>
          <wp:inline>
            <wp:extent cx="5940425" cy="312624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31262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ind w:firstLine="0" w:left="360"/>
      </w:pPr>
      <w:r>
        <w:drawing>
          <wp:inline>
            <wp:extent cx="5940425" cy="3144642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5" cy="314464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ind w:firstLine="0" w:left="360"/>
      </w:pPr>
      <w:r>
        <w:drawing>
          <wp:inline>
            <wp:extent cx="5940425" cy="950934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9509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rPr>
          <w:i w:val="1"/>
        </w:rPr>
      </w:pPr>
      <w:r>
        <w:rPr>
          <w:i w:val="1"/>
        </w:rPr>
        <w:t xml:space="preserve">Три способа, как этого избежать: </w:t>
      </w:r>
    </w:p>
    <w:p w14:paraId="08000000">
      <w:pPr>
        <w:pStyle w:val="Style_1"/>
        <w:numPr>
          <w:ilvl w:val="0"/>
          <w:numId w:val="1"/>
        </w:numPr>
      </w:pPr>
      <w:r>
        <w:t xml:space="preserve">Родитель может осуществить переход на платформу </w:t>
      </w:r>
      <w:r>
        <w:t xml:space="preserve">по ссылке на другом устройстве или в другом браузере на этом же устройстве; </w:t>
      </w:r>
    </w:p>
    <w:p w14:paraId="09000000">
      <w:pPr>
        <w:pStyle w:val="Style_1"/>
        <w:numPr>
          <w:ilvl w:val="0"/>
          <w:numId w:val="1"/>
        </w:numPr>
      </w:pPr>
      <w:r>
        <w:t>Родитель может и</w:t>
      </w:r>
      <w:r>
        <w:t xml:space="preserve">спользовать режим инкогнито в этом же браузере; </w:t>
      </w:r>
    </w:p>
    <w:p w14:paraId="0A000000">
      <w:pPr>
        <w:pStyle w:val="Style_1"/>
        <w:numPr>
          <w:ilvl w:val="0"/>
          <w:numId w:val="1"/>
        </w:numPr>
      </w:pPr>
      <w:r>
        <w:t>Родитель может п</w:t>
      </w:r>
      <w:r>
        <w:t xml:space="preserve">опросить ребёнка на время выйти из своего профиля в </w:t>
      </w:r>
      <w:r>
        <w:t>Сферуме</w:t>
      </w:r>
      <w:r>
        <w:t xml:space="preserve">, чтобы </w:t>
      </w:r>
      <w:r>
        <w:t xml:space="preserve">он сам смог </w:t>
      </w:r>
      <w:r>
        <w:t xml:space="preserve"> зарегистрироваться по ссылке на том же устройстве и в том же браузере. </w:t>
      </w:r>
    </w:p>
    <w:p w14:paraId="0B000000">
      <w:r>
        <w:t>П</w:t>
      </w:r>
      <w:r>
        <w:t xml:space="preserve">о ссылке-приглашению </w:t>
      </w:r>
      <w:r>
        <w:t xml:space="preserve">также </w:t>
      </w:r>
      <w:r>
        <w:rPr>
          <w:b w:val="1"/>
        </w:rPr>
        <w:t>не получится</w:t>
      </w:r>
      <w:r>
        <w:t xml:space="preserve"> перейти, если в профиле ребёнка уже есть два родителя</w:t>
      </w:r>
      <w:r>
        <w:t>.</w:t>
      </w:r>
    </w:p>
    <w:p w14:paraId="0C000000">
      <w:pPr>
        <w:ind w:firstLine="0" w:left="360"/>
      </w:pPr>
      <w:r>
        <w:drawing>
          <wp:inline>
            <wp:extent cx="5940425" cy="3156291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31562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pPr>
        <w:rPr>
          <w:b w:val="1"/>
        </w:rPr>
      </w:pPr>
      <w:r>
        <w:rPr>
          <w:b w:val="1"/>
        </w:rPr>
        <w:t>1.1.</w:t>
      </w:r>
      <w:r>
        <w:rPr>
          <w:b w:val="1"/>
        </w:rPr>
        <w:t xml:space="preserve">Если аккаунт в системе </w:t>
      </w:r>
      <w:r>
        <w:rPr>
          <w:b w:val="1"/>
        </w:rPr>
        <w:t>VK</w:t>
      </w:r>
      <w:r>
        <w:rPr>
          <w:b w:val="1"/>
        </w:rPr>
        <w:t xml:space="preserve"> </w:t>
      </w:r>
      <w:r>
        <w:rPr>
          <w:b w:val="1"/>
        </w:rPr>
        <w:t>ID</w:t>
      </w:r>
      <w:r>
        <w:rPr>
          <w:b w:val="1"/>
        </w:rPr>
        <w:t xml:space="preserve"> у родителя не было</w:t>
      </w:r>
    </w:p>
    <w:p w14:paraId="0E000000">
      <w:pPr>
        <w:ind w:firstLine="0" w:left="360"/>
        <w:rPr>
          <w:b w:val="1"/>
        </w:rPr>
      </w:pPr>
      <w:r>
        <w:rPr>
          <w:b w:val="1"/>
        </w:rPr>
        <w:t>В таком случае следует выполнять следующий алгоритм действий:</w:t>
      </w:r>
    </w:p>
    <w:p w14:paraId="0F000000">
      <w:pPr>
        <w:pStyle w:val="Style_1"/>
        <w:numPr>
          <w:ilvl w:val="0"/>
          <w:numId w:val="2"/>
        </w:numPr>
      </w:pPr>
      <w:r>
        <w:t>Нажать</w:t>
      </w:r>
      <w:r>
        <w:t xml:space="preserve"> на кнопку </w:t>
      </w:r>
      <w:r>
        <w:rPr>
          <w:b w:val="1"/>
        </w:rPr>
        <w:t>«Войти или создать аккаунт»</w:t>
      </w:r>
      <w:r>
        <w:t>;</w:t>
      </w:r>
    </w:p>
    <w:p w14:paraId="10000000">
      <w:pPr>
        <w:ind w:firstLine="0" w:left="360"/>
      </w:pPr>
      <w:r>
        <w:drawing>
          <wp:inline>
            <wp:extent cx="5940425" cy="2475739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0425" cy="24757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00000">
      <w:pPr>
        <w:pStyle w:val="Style_1"/>
        <w:numPr>
          <w:ilvl w:val="0"/>
          <w:numId w:val="2"/>
        </w:numPr>
      </w:pPr>
      <w:r>
        <w:t xml:space="preserve">Вписать </w:t>
      </w:r>
      <w:r>
        <w:t>номер мобильного телефона;</w:t>
      </w:r>
    </w:p>
    <w:p w14:paraId="12000000">
      <w:pPr>
        <w:pStyle w:val="Style_1"/>
        <w:numPr>
          <w:ilvl w:val="0"/>
          <w:numId w:val="2"/>
        </w:numPr>
      </w:pPr>
      <w:r>
        <w:t xml:space="preserve">На этот номер будет отправлено </w:t>
      </w:r>
      <w:r>
        <w:rPr>
          <w:b w:val="1"/>
        </w:rPr>
        <w:t>SMS</w:t>
      </w:r>
      <w:r>
        <w:t xml:space="preserve"> с кодом подтверждения. </w:t>
      </w:r>
    </w:p>
    <w:p w14:paraId="13000000">
      <w:pPr>
        <w:pStyle w:val="Style_1"/>
      </w:pPr>
      <w:r>
        <w:t>Если</w:t>
      </w:r>
      <w:r>
        <w:t xml:space="preserve"> в номере есть ошибка</w:t>
      </w:r>
      <w:r>
        <w:t xml:space="preserve">, </w:t>
      </w:r>
      <w:r>
        <w:t>то следует изменить</w:t>
      </w:r>
      <w:r>
        <w:t xml:space="preserve"> е</w:t>
      </w:r>
      <w:r>
        <w:t>го и запросить</w:t>
      </w:r>
      <w:r>
        <w:t xml:space="preserve"> </w:t>
      </w:r>
      <w:r>
        <w:rPr>
          <w:b w:val="1"/>
        </w:rPr>
        <w:t>SMS</w:t>
      </w:r>
      <w:r>
        <w:t xml:space="preserve"> заново. Код может идти несколько минут: если счётчик времени обнулился, а код так и не пришёл, </w:t>
      </w:r>
      <w:r>
        <w:t>нужно запросить его</w:t>
      </w:r>
      <w:r>
        <w:t xml:space="preserve"> снова. Иногда вместо </w:t>
      </w:r>
      <w:r>
        <w:rPr>
          <w:b w:val="1"/>
        </w:rPr>
        <w:t>SMS</w:t>
      </w:r>
      <w:r>
        <w:t xml:space="preserve"> с кодом мобильный оператор совершает звонок-сброс. Приходить он может с разных номеров, в том числе и не российских. Отвечать н</w:t>
      </w:r>
      <w:r>
        <w:t>а него не нужно — необходимо будет ввести</w:t>
      </w:r>
      <w:r>
        <w:t xml:space="preserve"> последние цифры номера, с которого поступил звонок. И </w:t>
      </w:r>
      <w:r>
        <w:rPr>
          <w:b w:val="1"/>
        </w:rPr>
        <w:t>SMS</w:t>
      </w:r>
      <w:r>
        <w:t>,</w:t>
      </w:r>
      <w:r>
        <w:t xml:space="preserve"> и звонок – </w:t>
      </w:r>
      <w:r>
        <w:t>бесплатны</w:t>
      </w:r>
      <w:r>
        <w:t>;</w:t>
      </w:r>
    </w:p>
    <w:p w14:paraId="14000000">
      <w:pPr>
        <w:pStyle w:val="Style_1"/>
        <w:numPr>
          <w:ilvl w:val="0"/>
          <w:numId w:val="2"/>
        </w:numPr>
      </w:pPr>
      <w:r>
        <w:t>Придумать и указать</w:t>
      </w:r>
      <w:r>
        <w:t xml:space="preserve"> пароль. </w:t>
      </w:r>
      <w:r>
        <w:t xml:space="preserve">Передавать </w:t>
      </w:r>
      <w:r>
        <w:t>свои регистрационные данные</w:t>
      </w:r>
      <w:r>
        <w:t xml:space="preserve"> никому нельзя, так как это</w:t>
      </w:r>
      <w:r>
        <w:t xml:space="preserve"> может угрожать безопасности </w:t>
      </w:r>
      <w:r>
        <w:t>аккаунта;</w:t>
      </w:r>
    </w:p>
    <w:p w14:paraId="15000000">
      <w:pPr>
        <w:pStyle w:val="Style_1"/>
        <w:numPr>
          <w:ilvl w:val="0"/>
          <w:numId w:val="2"/>
        </w:numPr>
      </w:pPr>
      <w:r>
        <w:t>Указать</w:t>
      </w:r>
      <w:r>
        <w:t xml:space="preserve"> имя и др</w:t>
      </w:r>
      <w:r>
        <w:t>угие данные в форме регистрации;</w:t>
      </w:r>
    </w:p>
    <w:p w14:paraId="16000000">
      <w:pPr>
        <w:pStyle w:val="Style_1"/>
      </w:pPr>
      <w:r>
        <w:drawing>
          <wp:inline>
            <wp:extent cx="5940425" cy="220781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425" cy="22078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00000">
      <w:pPr>
        <w:pStyle w:val="Style_1"/>
        <w:numPr>
          <w:ilvl w:val="0"/>
          <w:numId w:val="2"/>
        </w:numPr>
      </w:pPr>
      <w:r>
        <w:t xml:space="preserve">Для завершения </w:t>
      </w:r>
      <w:r>
        <w:t>нужно подтвердить</w:t>
      </w:r>
      <w:r>
        <w:t xml:space="preserve"> регистрацию ребёнка.</w:t>
      </w:r>
      <w:r>
        <w:t xml:space="preserve"> Проверить </w:t>
      </w:r>
      <w:r>
        <w:t>к</w:t>
      </w:r>
      <w:r>
        <w:t>орректность информации и нажать</w:t>
      </w:r>
      <w:r>
        <w:t xml:space="preserve"> </w:t>
      </w:r>
      <w:r>
        <w:rPr>
          <w:b w:val="1"/>
        </w:rPr>
        <w:t>«Подтвердить регистрацию ребёнка»</w:t>
      </w:r>
      <w:r>
        <w:t>.</w:t>
      </w:r>
    </w:p>
    <w:p w14:paraId="18000000">
      <w:pPr>
        <w:ind w:firstLine="0" w:left="360"/>
      </w:pPr>
      <w:r>
        <w:drawing>
          <wp:inline>
            <wp:extent cx="5940425" cy="298646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940425" cy="29864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rPr>
          <w:b w:val="1"/>
        </w:rPr>
      </w:pPr>
      <w:r>
        <w:rPr>
          <w:b w:val="1"/>
        </w:rPr>
        <w:t>1.2.</w:t>
      </w:r>
      <w:r>
        <w:rPr>
          <w:b w:val="1"/>
        </w:rPr>
        <w:t>Ес</w:t>
      </w:r>
      <w:r>
        <w:rPr>
          <w:b w:val="1"/>
        </w:rPr>
        <w:t>ли у вас уже есть аккаунт VK ID.</w:t>
      </w:r>
    </w:p>
    <w:p w14:paraId="1A000000">
      <w:pPr>
        <w:ind w:firstLine="0" w:left="360"/>
        <w:rPr>
          <w:b w:val="1"/>
        </w:rPr>
      </w:pPr>
      <w:r>
        <w:rPr>
          <w:b w:val="1"/>
        </w:rPr>
        <w:t>В таком случае следует выполнять следующий алгоритм действий:</w:t>
      </w:r>
    </w:p>
    <w:p w14:paraId="1B000000">
      <w:pPr>
        <w:pStyle w:val="Style_1"/>
        <w:numPr>
          <w:ilvl w:val="0"/>
          <w:numId w:val="3"/>
        </w:numPr>
      </w:pPr>
      <w:r>
        <w:t>Нажать</w:t>
      </w:r>
      <w:r>
        <w:t xml:space="preserve"> на кнопку </w:t>
      </w:r>
      <w:r>
        <w:rPr>
          <w:b w:val="1"/>
        </w:rPr>
        <w:t>«Войти или создать аккаунт»</w:t>
      </w:r>
      <w:r>
        <w:t>;</w:t>
      </w:r>
    </w:p>
    <w:p w14:paraId="1C000000">
      <w:pPr>
        <w:pStyle w:val="Style_1"/>
        <w:numPr>
          <w:ilvl w:val="0"/>
          <w:numId w:val="3"/>
        </w:numPr>
      </w:pPr>
      <w:r>
        <w:t>Выписать</w:t>
      </w:r>
      <w:r>
        <w:t xml:space="preserve"> номер мобильного телефона;</w:t>
      </w:r>
    </w:p>
    <w:p w14:paraId="1D000000">
      <w:pPr>
        <w:pStyle w:val="Style_1"/>
      </w:pPr>
      <w:r>
        <w:drawing>
          <wp:inline>
            <wp:extent cx="5940425" cy="2408297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940425" cy="240829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00000">
      <w:pPr>
        <w:pStyle w:val="Style_1"/>
        <w:numPr>
          <w:ilvl w:val="0"/>
          <w:numId w:val="3"/>
        </w:numPr>
      </w:pPr>
      <w:r>
        <w:t>На номер будет отправлено СМС с кодом подтверждения.</w:t>
      </w:r>
    </w:p>
    <w:p w14:paraId="1F000000">
      <w:pPr>
        <w:pStyle w:val="Style_1"/>
      </w:pPr>
      <w:r>
        <w:t>Если</w:t>
      </w:r>
      <w:r>
        <w:t xml:space="preserve"> в номере есть ошибка</w:t>
      </w:r>
      <w:r>
        <w:t xml:space="preserve">, </w:t>
      </w:r>
      <w:r>
        <w:t>то следует изменить</w:t>
      </w:r>
      <w:r>
        <w:t xml:space="preserve"> е</w:t>
      </w:r>
      <w:r>
        <w:t>го и запросить</w:t>
      </w:r>
      <w:r>
        <w:t xml:space="preserve"> </w:t>
      </w:r>
      <w:r>
        <w:rPr>
          <w:b w:val="1"/>
        </w:rPr>
        <w:t>SMS</w:t>
      </w:r>
      <w:r>
        <w:t xml:space="preserve"> заново. Код может идти несколько минут: если счётчик времени </w:t>
      </w:r>
      <w:r>
        <w:t xml:space="preserve">обнулился, а код так и не пришёл, </w:t>
      </w:r>
      <w:r>
        <w:t>нужно запросить его</w:t>
      </w:r>
      <w:r>
        <w:t xml:space="preserve"> снова. Иногда вместо </w:t>
      </w:r>
      <w:r>
        <w:rPr>
          <w:b w:val="1"/>
        </w:rPr>
        <w:t>SMS</w:t>
      </w:r>
      <w:r>
        <w:t xml:space="preserve"> с кодом мобильный оператор совершает звонок-сброс. Приходить он может с разных номеров, в том числе и не российских. Отвечать н</w:t>
      </w:r>
      <w:r>
        <w:t>а него не нужно — необходимо будет ввести</w:t>
      </w:r>
      <w:r>
        <w:t xml:space="preserve"> последние цифры номера, с которого поступил звонок. И </w:t>
      </w:r>
      <w:r>
        <w:rPr>
          <w:b w:val="1"/>
        </w:rPr>
        <w:t>SMS</w:t>
      </w:r>
      <w:r>
        <w:t>,</w:t>
      </w:r>
      <w:r>
        <w:t xml:space="preserve"> и звонок – </w:t>
      </w:r>
      <w:r>
        <w:t>бесплатны</w:t>
      </w:r>
      <w:r>
        <w:t>;</w:t>
      </w:r>
    </w:p>
    <w:p w14:paraId="20000000">
      <w:pPr>
        <w:pStyle w:val="Style_1"/>
        <w:numPr>
          <w:ilvl w:val="0"/>
          <w:numId w:val="3"/>
        </w:numPr>
      </w:pPr>
      <w:r>
        <w:t>Ввести</w:t>
      </w:r>
      <w:r>
        <w:t xml:space="preserve"> пароль от аккаунта VK ID. </w:t>
      </w:r>
    </w:p>
    <w:p w14:paraId="21000000">
      <w:pPr>
        <w:pStyle w:val="Style_1"/>
      </w:pPr>
      <w:r>
        <w:t xml:space="preserve">Если пароль забыли, то </w:t>
      </w:r>
      <w:r>
        <w:t>нажать</w:t>
      </w:r>
      <w:r>
        <w:t xml:space="preserve"> на фразу </w:t>
      </w:r>
      <w:r>
        <w:rPr>
          <w:b w:val="1"/>
        </w:rPr>
        <w:t>«Забыли пароль?»</w:t>
      </w:r>
      <w:r>
        <w:t xml:space="preserve"> и заполн</w:t>
      </w:r>
      <w:r>
        <w:t>ить</w:t>
      </w:r>
      <w:r>
        <w:t xml:space="preserve"> форму для сброса пароля;</w:t>
      </w:r>
    </w:p>
    <w:p w14:paraId="22000000">
      <w:pPr>
        <w:pStyle w:val="Style_1"/>
        <w:numPr>
          <w:ilvl w:val="0"/>
          <w:numId w:val="3"/>
        </w:numPr>
      </w:pPr>
      <w:r>
        <w:t>Если с</w:t>
      </w:r>
      <w:r>
        <w:t xml:space="preserve">истема показывает чужой профиль, то </w:t>
      </w:r>
      <w:r>
        <w:t>нажать</w:t>
      </w:r>
      <w:r>
        <w:t xml:space="preserve"> </w:t>
      </w:r>
      <w:r>
        <w:rPr>
          <w:b w:val="1"/>
        </w:rPr>
        <w:t>«Это не я»</w:t>
      </w:r>
      <w:r>
        <w:t xml:space="preserve"> и следовать</w:t>
      </w:r>
      <w:r>
        <w:t xml:space="preserve"> инструкции;</w:t>
      </w:r>
    </w:p>
    <w:p w14:paraId="23000000">
      <w:pPr>
        <w:pStyle w:val="Style_1"/>
      </w:pPr>
      <w:r>
        <w:drawing>
          <wp:inline>
            <wp:extent cx="5940425" cy="251927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940425" cy="25192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>
      <w:pPr>
        <w:pStyle w:val="Style_1"/>
        <w:numPr>
          <w:ilvl w:val="0"/>
          <w:numId w:val="3"/>
        </w:numPr>
      </w:pPr>
      <w:r>
        <w:t>Указать</w:t>
      </w:r>
      <w:r>
        <w:t xml:space="preserve"> имя и др</w:t>
      </w:r>
      <w:r>
        <w:t>угие данные в форме регистрации;</w:t>
      </w:r>
    </w:p>
    <w:p w14:paraId="25000000">
      <w:pPr>
        <w:pStyle w:val="Style_1"/>
      </w:pPr>
      <w:r>
        <w:drawing>
          <wp:inline>
            <wp:extent cx="5940425" cy="2691554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5940425" cy="26915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6000000">
      <w:pPr>
        <w:pStyle w:val="Style_1"/>
        <w:numPr>
          <w:ilvl w:val="0"/>
          <w:numId w:val="3"/>
        </w:numPr>
      </w:pPr>
      <w:r>
        <w:t xml:space="preserve">Для завершения подтвердить регистрацию ребёнка. Проверить </w:t>
      </w:r>
      <w:r>
        <w:t>к</w:t>
      </w:r>
      <w:r>
        <w:t>орректность информации и нажать</w:t>
      </w:r>
      <w:r>
        <w:t xml:space="preserve"> </w:t>
      </w:r>
      <w:r>
        <w:rPr>
          <w:b w:val="1"/>
        </w:rPr>
        <w:t>«Подтвердить регистрацию ребёнка».</w:t>
      </w:r>
    </w:p>
    <w:p w14:paraId="27000000">
      <w:pPr>
        <w:ind w:firstLine="0" w:left="360"/>
      </w:pPr>
      <w:r>
        <w:drawing>
          <wp:inline>
            <wp:extent cx="5940425" cy="3026925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5940425" cy="30269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00000">
      <w:pPr>
        <w:ind w:firstLine="0" w:left="360"/>
      </w:pPr>
      <w:r>
        <w:t>После этого в профиле родителя появится ребёнок, а в профиле ребёнка — родитель.</w:t>
      </w:r>
    </w:p>
    <w:p w14:paraId="29000000">
      <w:pPr>
        <w:ind w:firstLine="0" w:left="360"/>
      </w:pPr>
      <w:r>
        <w:drawing>
          <wp:inline>
            <wp:extent cx="5940425" cy="2958257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5940425" cy="29582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00000">
      <w:pPr>
        <w:ind w:firstLine="0" w:left="360"/>
      </w:pPr>
      <w:r>
        <w:drawing>
          <wp:inline>
            <wp:extent cx="5940425" cy="2990139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5940425" cy="29901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00000">
      <w:r>
        <w:t xml:space="preserve">Если </w:t>
      </w:r>
      <w:r>
        <w:t>детей</w:t>
      </w:r>
      <w:r>
        <w:t xml:space="preserve"> несколько</w:t>
      </w:r>
      <w:r>
        <w:t>, то в этом</w:t>
      </w:r>
      <w:r>
        <w:t xml:space="preserve"> случае каждый ребёнок должен прислать</w:t>
      </w:r>
      <w:r>
        <w:t xml:space="preserve"> </w:t>
      </w:r>
      <w:r>
        <w:t xml:space="preserve">родителю </w:t>
      </w:r>
      <w:r>
        <w:t>ссылку-приглашение из своего профиля</w:t>
      </w:r>
      <w:r>
        <w:t>.</w:t>
      </w:r>
      <w:r>
        <w:t xml:space="preserve"> Родители </w:t>
      </w:r>
      <w:r>
        <w:t>должны перейти по каждой ссылке</w:t>
      </w:r>
      <w:r>
        <w:t xml:space="preserve">, подтверждая тем самым регистрацию каждого ребенка. </w:t>
      </w:r>
    </w:p>
    <w:p w14:paraId="2C000000">
      <w:r>
        <w:t xml:space="preserve">После этого в профиле </w:t>
      </w:r>
      <w:r>
        <w:t xml:space="preserve"> детей</w:t>
      </w:r>
      <w:r>
        <w:t xml:space="preserve"> отобразится родитель, а в</w:t>
      </w:r>
      <w:r>
        <w:t xml:space="preserve"> профиле </w:t>
      </w:r>
      <w:r>
        <w:t xml:space="preserve">родителя </w:t>
      </w:r>
      <w:r>
        <w:t>— все дети, даже если они учатся в разных школах.</w:t>
      </w:r>
    </w:p>
    <w:p w14:paraId="2D000000">
      <w:r>
        <w:t>Роли родителя и учителя можно совмещать в одном аккаунте. Создавать для этого отдельный профиль не нужно.</w:t>
      </w:r>
    </w:p>
    <w:p w14:paraId="2E000000">
      <w:pPr>
        <w:rPr>
          <w:b w:val="1"/>
        </w:rPr>
      </w:pPr>
      <w:r>
        <w:rPr>
          <w:b w:val="1"/>
        </w:rPr>
        <w:t>2.</w:t>
      </w:r>
      <w:r>
        <w:rPr>
          <w:b w:val="1"/>
        </w:rPr>
        <w:t>Функциональные возможности родителя на платформе</w:t>
      </w:r>
    </w:p>
    <w:p w14:paraId="2F000000">
      <w:r>
        <w:t>После регистрации родителя</w:t>
      </w:r>
    </w:p>
    <w:p w14:paraId="30000000">
      <w:pPr>
        <w:pStyle w:val="Style_1"/>
        <w:numPr>
          <w:ilvl w:val="0"/>
          <w:numId w:val="4"/>
        </w:numPr>
      </w:pPr>
      <w:r>
        <w:t xml:space="preserve">В </w:t>
      </w:r>
      <w:r>
        <w:t xml:space="preserve">разделе </w:t>
      </w:r>
      <w:r>
        <w:rPr>
          <w:b w:val="1"/>
        </w:rPr>
        <w:t>«Контакты»</w:t>
      </w:r>
      <w:r>
        <w:t xml:space="preserve"> </w:t>
      </w:r>
      <w:r>
        <w:t xml:space="preserve">будут отображены все учителя </w:t>
      </w:r>
      <w:r>
        <w:t xml:space="preserve">ребёнка. </w:t>
      </w:r>
    </w:p>
    <w:p w14:paraId="31000000">
      <w:pPr>
        <w:pStyle w:val="Style_1"/>
      </w:pPr>
      <w:r>
        <w:t>Родитель может</w:t>
      </w:r>
      <w:r>
        <w:t xml:space="preserve"> написать ребёнку или педагогу в личные сообщения — для этого</w:t>
      </w:r>
      <w:r>
        <w:t xml:space="preserve"> нужно нажать</w:t>
      </w:r>
      <w:r>
        <w:t xml:space="preserve"> на значок диалога рядом с именем. </w:t>
      </w:r>
    </w:p>
    <w:p w14:paraId="32000000">
      <w:pPr>
        <w:pStyle w:val="Style_1"/>
      </w:pPr>
      <w:r>
        <w:t xml:space="preserve">Чтобы провести </w:t>
      </w:r>
      <w:r>
        <w:t>видеозвонок</w:t>
      </w:r>
      <w:r>
        <w:t xml:space="preserve">, находясь в диалоге с собеседником, </w:t>
      </w:r>
      <w:r>
        <w:t>следует нажать на</w:t>
      </w:r>
      <w:r>
        <w:t xml:space="preserve"> значок видео</w:t>
      </w:r>
      <w:r>
        <w:t>камеры вверху справа;</w:t>
      </w:r>
      <w:bookmarkStart w:id="1" w:name="_GoBack"/>
      <w:bookmarkEnd w:id="1"/>
    </w:p>
    <w:p w14:paraId="33000000">
      <w:pPr>
        <w:pStyle w:val="Style_1"/>
      </w:pPr>
      <w:r>
        <w:drawing>
          <wp:inline>
            <wp:extent cx="5940425" cy="3006693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5940425" cy="300669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00000">
      <w:pPr>
        <w:pStyle w:val="Style_1"/>
      </w:pPr>
      <w:r>
        <w:drawing>
          <wp:inline>
            <wp:extent cx="5940425" cy="2990139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940425" cy="29901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00000">
      <w:pPr>
        <w:pStyle w:val="Style_1"/>
        <w:numPr>
          <w:ilvl w:val="0"/>
          <w:numId w:val="4"/>
        </w:numPr>
      </w:pPr>
      <w:r>
        <w:t>Открывается доступ к личному облачному хранилищу</w:t>
      </w:r>
      <w:r>
        <w:t xml:space="preserve"> документов. </w:t>
      </w:r>
      <w:r>
        <w:t xml:space="preserve">У родителей появляется возможность </w:t>
      </w:r>
      <w:r>
        <w:t xml:space="preserve">загрузить нужные документы в облако и открывать их с любого устройства. </w:t>
      </w:r>
    </w:p>
    <w:p w14:paraId="36000000">
      <w:pPr>
        <w:pStyle w:val="Style_1"/>
      </w:pPr>
      <w:r>
        <w:t>Для того ч</w:t>
      </w:r>
      <w:r>
        <w:t xml:space="preserve">тобы добавить файлы, </w:t>
      </w:r>
      <w:r>
        <w:t>необходимо нажать на</w:t>
      </w:r>
      <w:r>
        <w:t xml:space="preserve"> </w:t>
      </w:r>
      <w:r>
        <w:rPr>
          <w:b w:val="1"/>
        </w:rPr>
        <w:t>«Мои документы»</w:t>
      </w:r>
      <w:r>
        <w:t xml:space="preserve"> → + → Выб</w:t>
      </w:r>
      <w:r>
        <w:t>рать</w:t>
      </w:r>
      <w:r>
        <w:t xml:space="preserve"> нужные файлы.</w:t>
      </w:r>
    </w:p>
    <w:p w14:paraId="37000000">
      <w:r>
        <w:drawing>
          <wp:inline>
            <wp:extent cx="5940425" cy="2902464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5940425" cy="29024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00000">
      <w:pPr>
        <w:ind w:firstLine="0" w:left="360"/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line="360" w:lineRule="auto"/>
      <w:ind/>
      <w:jc w:val="both"/>
    </w:pPr>
    <w:rPr>
      <w:rFonts w:ascii="Times New Roman" w:hAnsi="Times New Roman"/>
      <w:sz w:val="28"/>
    </w:rPr>
  </w:style>
  <w:style w:default="1" w:styleId="Style_2_ch" w:type="character">
    <w:name w:val="Normal"/>
    <w:link w:val="Style_2"/>
    <w:rPr>
      <w:rFonts w:ascii="Times New Roman" w:hAnsi="Times New Roman"/>
      <w:sz w:val="28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2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basedOn w:val="Style_2"/>
    <w:next w:val="Style_2"/>
    <w:link w:val="Style_10_ch"/>
    <w:uiPriority w:val="9"/>
    <w:qFormat/>
    <w:pPr>
      <w:keepNext w:val="1"/>
      <w:keepLines w:val="1"/>
      <w:spacing w:after="0" w:before="480"/>
      <w:ind/>
      <w:outlineLvl w:val="0"/>
    </w:pPr>
    <w:rPr>
      <w:b w:val="1"/>
    </w:rPr>
  </w:style>
  <w:style w:styleId="Style_10_ch" w:type="character">
    <w:name w:val="heading 1"/>
    <w:basedOn w:val="Style_2_ch"/>
    <w:link w:val="Style_10"/>
    <w:rPr>
      <w:b w:val="1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Placeholder Text"/>
    <w:basedOn w:val="Style_11"/>
    <w:link w:val="Style_16_ch"/>
    <w:rPr>
      <w:color w:val="808080"/>
    </w:rPr>
  </w:style>
  <w:style w:styleId="Style_16_ch" w:type="character">
    <w:name w:val="Placeholder Text"/>
    <w:basedOn w:val="Style_11_ch"/>
    <w:link w:val="Style_16"/>
    <w:rPr>
      <w:color w:val="808080"/>
    </w:rPr>
  </w:style>
  <w:style w:styleId="Style_1" w:type="paragraph">
    <w:name w:val="List Paragraph"/>
    <w:basedOn w:val="Style_2"/>
    <w:link w:val="Style_1_ch"/>
    <w:pPr>
      <w:ind w:firstLine="0" w:left="720"/>
      <w:contextualSpacing w:val="1"/>
    </w:pPr>
  </w:style>
  <w:style w:styleId="Style_1_ch" w:type="character">
    <w:name w:val="List Paragraph"/>
    <w:basedOn w:val="Style_2_ch"/>
    <w:link w:val="Style_1"/>
  </w:style>
  <w:style w:styleId="Style_17" w:type="paragraph">
    <w:name w:val="toc 9"/>
    <w:next w:val="Style_2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2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2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Balloon Text"/>
    <w:basedOn w:val="Style_2"/>
    <w:link w:val="Style_21_ch"/>
    <w:pPr>
      <w:spacing w:after="0" w:line="240" w:lineRule="auto"/>
      <w:ind/>
    </w:pPr>
    <w:rPr>
      <w:rFonts w:ascii="Tahoma" w:hAnsi="Tahoma"/>
      <w:sz w:val="16"/>
    </w:rPr>
  </w:style>
  <w:style w:styleId="Style_21_ch" w:type="character">
    <w:name w:val="Balloon Text"/>
    <w:basedOn w:val="Style_2_ch"/>
    <w:link w:val="Style_21"/>
    <w:rPr>
      <w:rFonts w:ascii="Tahoma" w:hAnsi="Tahoma"/>
      <w:sz w:val="16"/>
    </w:rPr>
  </w:style>
  <w:style w:styleId="Style_22" w:type="paragraph">
    <w:name w:val="Title"/>
    <w:next w:val="Style_2"/>
    <w:link w:val="Style_2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2_ch" w:type="character">
    <w:name w:val="Title"/>
    <w:link w:val="Style_22"/>
    <w:rPr>
      <w:rFonts w:ascii="XO Thames" w:hAnsi="XO Thames"/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numbering.xml" Type="http://schemas.openxmlformats.org/officeDocument/2006/relationships/numbering"/>
  <Relationship Id="rId21" Target="webSettings.xml" Type="http://schemas.openxmlformats.org/officeDocument/2006/relationships/webSettings"/>
  <Relationship Id="rId19" Target="styles.xml" Type="http://schemas.openxmlformats.org/officeDocument/2006/relationships/styles"/>
  <Relationship Id="rId18" Target="settings.xml" Type="http://schemas.openxmlformats.org/officeDocument/2006/relationships/settings"/>
  <Relationship Id="rId17" Target="fontTable.xml" Type="http://schemas.openxmlformats.org/officeDocument/2006/relationships/fontTable"/>
  <Relationship Id="rId15" Target="media/15.png" Type="http://schemas.openxmlformats.org/officeDocument/2006/relationships/image"/>
  <Relationship Id="rId11" Target="media/11.png" Type="http://schemas.openxmlformats.org/officeDocument/2006/relationships/image"/>
  <Relationship Id="rId16" Target="media/16.png" Type="http://schemas.openxmlformats.org/officeDocument/2006/relationships/image"/>
  <Relationship Id="rId22" Target="theme/theme1.xml" Type="http://schemas.openxmlformats.org/officeDocument/2006/relationships/theme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14" Target="media/14.png" Type="http://schemas.openxmlformats.org/officeDocument/2006/relationships/image"/>
  <Relationship Id="rId6" Target="media/6.png" Type="http://schemas.openxmlformats.org/officeDocument/2006/relationships/image"/>
  <Relationship Id="rId13" Target="media/13.png" Type="http://schemas.openxmlformats.org/officeDocument/2006/relationships/image"/>
  <Relationship Id="rId5" Target="media/5.png" Type="http://schemas.openxmlformats.org/officeDocument/2006/relationships/image"/>
  <Relationship Id="rId9" Target="media/9.png" Type="http://schemas.openxmlformats.org/officeDocument/2006/relationships/image"/>
  <Relationship Id="rId4" Target="media/4.png" Type="http://schemas.openxmlformats.org/officeDocument/2006/relationships/image"/>
  <Relationship Id="rId8" Target="media/8.png" Type="http://schemas.openxmlformats.org/officeDocument/2006/relationships/image"/>
  <Relationship Id="rId3" Target="media/3.png" Type="http://schemas.openxmlformats.org/officeDocument/2006/relationships/image"/>
  <Relationship Id="rId12" Target="media/12.png" Type="http://schemas.openxmlformats.org/officeDocument/2006/relationships/image"/>
  <Relationship Id="rId2" Target="media/2.png" Type="http://schemas.openxmlformats.org/officeDocument/2006/relationships/image"/>
  <Relationship Id="rId20" Target="stylesWithEffects.xml" Type="http://schemas.microsoft.com/office/2007/relationships/stylesWithEffects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2022-11-23T19:26:39Z</dcterms:modified>
</cp:coreProperties>
</file>